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196215</wp:posOffset>
            </wp:positionH>
            <wp:positionV relativeFrom="page">
              <wp:posOffset>1200785</wp:posOffset>
            </wp:positionV>
            <wp:extent cx="715708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7"/>
          <w:szCs w:val="27"/>
          <w:b w:val="1"/>
          <w:bCs w:val="1"/>
          <w:color w:val="auto"/>
        </w:rPr>
        <w:t>UNITED STATES</w:t>
      </w:r>
    </w:p>
    <w:p>
      <w:pPr>
        <w:jc w:val="center"/>
        <w:ind w:right="-1120"/>
        <w:spacing w:after="0" w:line="206" w:lineRule="auto"/>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257175</wp:posOffset>
            </wp:positionV>
            <wp:extent cx="71570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7"/>
          <w:szCs w:val="27"/>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270510</wp:posOffset>
            </wp:positionV>
            <wp:extent cx="71570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jc w:val="center"/>
        <w:ind w:right="-1080"/>
        <w:spacing w:after="0" w:line="205" w:lineRule="auto"/>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34"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5"/>
          <w:szCs w:val="15"/>
          <w:b w:val="1"/>
          <w:bCs w:val="1"/>
          <w:color w:val="auto"/>
        </w:rPr>
        <w:t>For the month of March 2026</w:t>
      </w:r>
    </w:p>
    <w:p>
      <w:pPr>
        <w:spacing w:after="0" w:line="160"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5"/>
          <w:szCs w:val="15"/>
          <w:b w:val="1"/>
          <w:bCs w:val="1"/>
          <w:color w:val="auto"/>
        </w:rPr>
        <w:t>Commission File Number: 001-41327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266700</wp:posOffset>
            </wp:positionV>
            <wp:extent cx="71570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35"/>
          <w:szCs w:val="35"/>
          <w:b w:val="1"/>
          <w:bCs w:val="1"/>
          <w:color w:val="auto"/>
        </w:rPr>
        <w:t>GOGORO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276860</wp:posOffset>
            </wp:positionV>
            <wp:extent cx="71570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5"/>
          <w:szCs w:val="15"/>
          <w:b w:val="1"/>
          <w:bCs w:val="1"/>
          <w:color w:val="auto"/>
        </w:rPr>
        <w:t>11F, Building C,</w:t>
      </w:r>
    </w:p>
    <w:p>
      <w:pPr>
        <w:ind w:left="4520"/>
        <w:spacing w:after="0" w:line="201" w:lineRule="auto"/>
        <w:rPr>
          <w:sz w:val="20"/>
          <w:szCs w:val="20"/>
          <w:color w:val="auto"/>
        </w:rPr>
      </w:pPr>
      <w:r>
        <w:rPr>
          <w:rFonts w:ascii="Times New Roman" w:cs="Times New Roman" w:eastAsia="Times New Roman" w:hAnsi="Times New Roman"/>
          <w:sz w:val="15"/>
          <w:szCs w:val="15"/>
          <w:b w:val="1"/>
          <w:bCs w:val="1"/>
          <w:color w:val="auto"/>
        </w:rPr>
        <w:t>No. 225, Section 2, Chang’an E. Rd.</w:t>
      </w:r>
    </w:p>
    <w:p>
      <w:pPr>
        <w:jc w:val="center"/>
        <w:ind w:right="-1120"/>
        <w:spacing w:after="0" w:line="200" w:lineRule="auto"/>
        <w:rPr>
          <w:sz w:val="20"/>
          <w:szCs w:val="20"/>
          <w:color w:val="auto"/>
        </w:rPr>
      </w:pPr>
      <w:r>
        <w:rPr>
          <w:rFonts w:ascii="Times New Roman" w:cs="Times New Roman" w:eastAsia="Times New Roman" w:hAnsi="Times New Roman"/>
          <w:sz w:val="15"/>
          <w:szCs w:val="15"/>
          <w:b w:val="1"/>
          <w:bCs w:val="1"/>
          <w:color w:val="auto"/>
        </w:rPr>
        <w:t>SongShan District, Taipei City 105</w:t>
      </w:r>
    </w:p>
    <w:p>
      <w:pPr>
        <w:jc w:val="center"/>
        <w:ind w:right="-1120"/>
        <w:spacing w:after="0" w:line="207" w:lineRule="auto"/>
        <w:rPr>
          <w:sz w:val="20"/>
          <w:szCs w:val="20"/>
          <w:color w:val="auto"/>
        </w:rPr>
      </w:pPr>
      <w:r>
        <w:rPr>
          <w:rFonts w:ascii="Times New Roman" w:cs="Times New Roman" w:eastAsia="Times New Roman" w:hAnsi="Times New Roman"/>
          <w:sz w:val="15"/>
          <w:szCs w:val="15"/>
          <w:b w:val="1"/>
          <w:bCs w:val="1"/>
          <w:color w:val="auto"/>
        </w:rPr>
        <w:t>Taiwan</w:t>
      </w:r>
    </w:p>
    <w:p>
      <w:pPr>
        <w:ind w:left="466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260985</wp:posOffset>
            </wp:positionV>
            <wp:extent cx="71570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spacing w:after="0" w:line="173" w:lineRule="exact"/>
        <w:tabs>
          <w:tab w:leader="none" w:pos="7980" w:val="left"/>
        </w:tabs>
        <w:rPr>
          <w:sz w:val="20"/>
          <w:szCs w:val="20"/>
          <w:color w:val="auto"/>
        </w:rPr>
      </w:pPr>
      <w:r>
        <w:rPr>
          <w:rFonts w:ascii="Times New Roman" w:cs="Times New Roman" w:eastAsia="Times New Roman" w:hAnsi="Times New Roman"/>
          <w:sz w:val="15"/>
          <w:szCs w:val="15"/>
          <w:color w:val="auto"/>
        </w:rPr>
        <w:t xml:space="preserve">Indicate by check mark whether the registrant files or will file annual reports under cover of Form 20-F or Form 40-F. Form 20-F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Form 40-F </w:t>
      </w:r>
      <w:r>
        <w:rPr>
          <w:rFonts w:ascii="MS PGothic" w:cs="MS PGothic" w:eastAsia="MS PGothic" w:hAnsi="MS PGothic"/>
          <w:sz w:val="15"/>
          <w:szCs w:val="15"/>
          <w:color w:val="auto"/>
        </w:rPr>
        <w:t>☐</w:t>
      </w:r>
    </w:p>
    <w:p>
      <w:pPr>
        <w:sectPr>
          <w:pgSz w:w="11900" w:h="16838" w:orient="portrait"/>
          <w:cols w:equalWidth="0" w:num="1">
            <w:col w:w="10159"/>
          </w:cols>
          <w:pgMar w:left="30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1144270</wp:posOffset>
            </wp:positionV>
            <wp:extent cx="71570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Announcement of Annual General Meeting on April 28, 2026</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March 20, 2026, Gogoro Inc. (“Gogoro”) issued a press release announcing its Annual General Meeting to be held on April 28, 2026.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Forward Looking Statements</w:t>
      </w:r>
    </w:p>
    <w:p>
      <w:pPr>
        <w:spacing w:after="0" w:line="206"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5"/>
          <w:szCs w:val="15"/>
          <w:color w:val="auto"/>
        </w:rPr>
        <w:t>This communication contains forward-looking statements within the meaning of Section 27A of the Securities Act of 1933, as amended, and Section 21E of the Securities Exchange Act of 1934, as amended. Forward-looking statements generally relate to future events or Gogoro's future financial or operating performance. In some cases, you can identify forward-looking statements because they contain words such as "may," "will," "should," "expects," "plans," "anticipates," "going to," "could," "intends," "target," "projects," "contemplates," "believes," "estimates," "predicts," "potential" or "continue" or the negative of these words or other similar terms or expressions that concern Gogoro's expectations, strategy, priorities, plans or intentions. Forward-looking statements in this communication include, but are not limited to, statements relating to holding of the Annual General Meeting.</w:t>
      </w:r>
    </w:p>
    <w:p>
      <w:pPr>
        <w:spacing w:after="0" w:line="18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5"/>
          <w:szCs w:val="15"/>
          <w:color w:val="auto"/>
        </w:rPr>
        <w:t xml:space="preserve">Gogoro’s expectations and beliefs regarding these matters may not materialize, and actual results in future periods are subject to risks and uncertainties that could cause actual results to differ materially from those projected, including risks related to macroeconomic factors including inflation and consumer confidence, risks related to the Taiwan scooter market, risks related to political tensions, Gogoro’s ability to effectively manage its growth, Gogoro’s ability to launch and ramp up the production of its products and control its manufacturing costs and manage its supply chain issues, Gogoro’s risks related to ability to expand its sales and marketing abilities, Gogoro’s ability to expand effectively into new markets, foreign exchange fluctuations, Gogoro’s ability to develop and maintain relationships with its partners, risks related to probable defects of Gogoro’s products and services and product recalls, regulatory risks and Gogoro’s risks related to strategic collaborations, risks related to the Taiwan market, India market, Philippines market and other international markets, alliances or joint ventures including Gogoro’s ability to enter into and execute its plans related to strategic collaborations, alliances or joint ventures in order for such strategic collaborations, alliances or joint ventures to be successful and generate revenue, the ability of Gogoro to be successful in the B2B market, risks related to Gogoro's ability to achieve operational efficiencies, Gogoro's ability to raise additional capital, the risks related to the need for Gogoro to invest more capital in strategic collaborations, alliances or joint ventures, risks relating to the impact of foreign exchange and the risk of Gogoro having to adjust the accounting treatment associated with its joint ventures. The forward-looking statements contained in this communication are also subject to other risks and uncertainties, including those more fully described in Gogoro's filings with the Securities and Exchange Commission (“SEC”), copies of which are available on the SEC's website at </w:t>
      </w:r>
      <w:r>
        <w:rPr>
          <w:rFonts w:ascii="Times New Roman" w:cs="Times New Roman" w:eastAsia="Times New Roman" w:hAnsi="Times New Roman"/>
          <w:sz w:val="15"/>
          <w:szCs w:val="15"/>
          <w:color w:val="0000FF"/>
        </w:rPr>
        <w:t>www.sec.gov</w:t>
      </w:r>
      <w:r>
        <w:rPr>
          <w:rFonts w:ascii="Times New Roman" w:cs="Times New Roman" w:eastAsia="Times New Roman" w:hAnsi="Times New Roman"/>
          <w:sz w:val="15"/>
          <w:szCs w:val="15"/>
          <w:color w:val="auto"/>
        </w:rPr>
        <w:t>. The forward-looking statements in this communication are based on information available to Gogoro as of the date hereof, and Gogoro disclaims any obligation to update any forward-looking statements, except as required by law.</w:t>
      </w:r>
    </w:p>
    <w:p>
      <w:pPr>
        <w:sectPr>
          <w:pgSz w:w="11900" w:h="16838" w:orient="portrait"/>
          <w:cols w:equalWidth="0" w:num="1">
            <w:col w:w="11260"/>
          </w:cols>
          <w:pgMar w:left="300" w:top="1440" w:right="339" w:bottom="1440" w:gutter="0" w:footer="0" w:header="0"/>
        </w:sectPr>
      </w:pPr>
    </w:p>
    <w:bookmarkStart w:id="2" w:name="page3"/>
    <w:bookmarkEnd w:id="2"/>
    <w:p>
      <w:pPr>
        <w:jc w:val="right"/>
        <w:ind w:right="3899"/>
        <w:spacing w:after="0"/>
        <w:rPr>
          <w:sz w:val="20"/>
          <w:szCs w:val="20"/>
          <w:color w:val="auto"/>
        </w:rPr>
      </w:pPr>
      <w:r>
        <w:rPr>
          <w:rFonts w:ascii="Times New Roman" w:cs="Times New Roman" w:eastAsia="Times New Roman" w:hAnsi="Times New Roman"/>
          <w:sz w:val="15"/>
          <w:szCs w:val="15"/>
          <w:b w:val="1"/>
          <w:bCs w:val="1"/>
          <w:color w:val="auto"/>
        </w:rPr>
        <w:t>EXHIBITS INDEX</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66"/>
        </w:trPr>
        <w:tc>
          <w:tcPr>
            <w:tcW w:w="10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34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Exhibit Title</w:t>
            </w:r>
          </w:p>
        </w:tc>
      </w:tr>
      <w:tr>
        <w:trPr>
          <w:trHeight w:val="396"/>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99.1</w:t>
            </w:r>
          </w:p>
        </w:tc>
        <w:tc>
          <w:tcPr>
            <w:tcW w:w="34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5"/>
                <w:szCs w:val="15"/>
                <w:color w:val="0000FF"/>
                <w:w w:val="98"/>
              </w:rPr>
              <w:t>Press release issued by Gogoro Inc., dated March 20, 2026</w:t>
            </w:r>
          </w:p>
        </w:tc>
      </w:tr>
      <w:tr>
        <w:trPr>
          <w:trHeight w:val="168"/>
        </w:trPr>
        <w:tc>
          <w:tcPr>
            <w:tcW w:w="104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99.2</w:t>
            </w:r>
          </w:p>
        </w:tc>
        <w:tc>
          <w:tcPr>
            <w:tcW w:w="3060" w:type="dxa"/>
            <w:vAlign w:val="bottom"/>
            <w:tcBorders>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5"/>
                <w:szCs w:val="15"/>
                <w:color w:val="0000FF"/>
                <w:w w:val="98"/>
              </w:rPr>
              <w:t>Notice of Annual General Meeting of the Company</w:t>
            </w:r>
          </w:p>
        </w:tc>
        <w:tc>
          <w:tcPr>
            <w:tcW w:w="420" w:type="dxa"/>
            <w:vAlign w:val="bottom"/>
          </w:tcPr>
          <w:p>
            <w:pPr>
              <w:spacing w:after="0"/>
              <w:rPr>
                <w:sz w:val="14"/>
                <w:szCs w:val="14"/>
                <w:color w:val="auto"/>
              </w:rPr>
            </w:pPr>
          </w:p>
        </w:tc>
      </w:tr>
      <w:tr>
        <w:trPr>
          <w:trHeight w:val="168"/>
        </w:trPr>
        <w:tc>
          <w:tcPr>
            <w:tcW w:w="104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99.3</w:t>
            </w:r>
          </w:p>
        </w:tc>
        <w:tc>
          <w:tcPr>
            <w:tcW w:w="3480" w:type="dxa"/>
            <w:vAlign w:val="bottom"/>
            <w:gridSpan w:val="4"/>
          </w:tcPr>
          <w:p>
            <w:pPr>
              <w:spacing w:after="0" w:line="169" w:lineRule="exact"/>
              <w:rPr>
                <w:sz w:val="20"/>
                <w:szCs w:val="20"/>
                <w:color w:val="auto"/>
              </w:rPr>
            </w:pPr>
            <w:r>
              <w:rPr>
                <w:rFonts w:ascii="Times New Roman" w:cs="Times New Roman" w:eastAsia="Times New Roman" w:hAnsi="Times New Roman"/>
                <w:sz w:val="15"/>
                <w:szCs w:val="15"/>
                <w:color w:val="0000FF"/>
              </w:rPr>
              <w:t>Proxy Statement</w:t>
            </w:r>
          </w:p>
        </w:tc>
      </w:tr>
      <w:tr>
        <w:trPr>
          <w:trHeight w:val="168"/>
        </w:trPr>
        <w:tc>
          <w:tcPr>
            <w:tcW w:w="104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99.4</w:t>
            </w:r>
          </w:p>
        </w:tc>
        <w:tc>
          <w:tcPr>
            <w:tcW w:w="980" w:type="dxa"/>
            <w:vAlign w:val="bottom"/>
            <w:tcBorders>
              <w:top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5"/>
                <w:szCs w:val="15"/>
                <w:color w:val="0000FF"/>
              </w:rPr>
              <w:t>Proxy Card</w:t>
            </w:r>
          </w:p>
        </w:tc>
        <w:tc>
          <w:tcPr>
            <w:tcW w:w="2500" w:type="dxa"/>
            <w:vAlign w:val="bottom"/>
            <w:gridSpan w:val="2"/>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ectPr>
          <w:pgSz w:w="11900" w:h="16838" w:orient="portrait"/>
          <w:cols w:equalWidth="0" w:num="1">
            <w:col w:w="10139"/>
          </w:cols>
          <w:pgMar w:left="320" w:top="1375"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5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6020" w:type="dxa"/>
            <w:vAlign w:val="bottom"/>
          </w:tcPr>
          <w:p>
            <w:pPr>
              <w:spacing w:after="0"/>
              <w:rPr>
                <w:sz w:val="16"/>
                <w:szCs w:val="16"/>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Gogoro Inc.</w:t>
            </w:r>
          </w:p>
        </w:tc>
      </w:tr>
      <w:tr>
        <w:trPr>
          <w:trHeight w:val="366"/>
        </w:trPr>
        <w:tc>
          <w:tcPr>
            <w:tcW w:w="6020" w:type="dxa"/>
            <w:vAlign w:val="bottom"/>
          </w:tcPr>
          <w:p>
            <w:pPr>
              <w:spacing w:after="0"/>
              <w:rPr>
                <w:sz w:val="20"/>
                <w:szCs w:val="20"/>
                <w:color w:val="auto"/>
              </w:rPr>
            </w:pPr>
            <w:r>
              <w:rPr>
                <w:rFonts w:ascii="Times New Roman" w:cs="Times New Roman" w:eastAsia="Times New Roman" w:hAnsi="Times New Roman"/>
                <w:sz w:val="15"/>
                <w:szCs w:val="15"/>
                <w:color w:val="auto"/>
              </w:rPr>
              <w:t>Date: March 20, 2026</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Bruce Morrison Aitken</w:t>
            </w:r>
          </w:p>
        </w:tc>
      </w:tr>
      <w:tr>
        <w:trPr>
          <w:trHeight w:val="176"/>
        </w:trPr>
        <w:tc>
          <w:tcPr>
            <w:tcW w:w="6020" w:type="dxa"/>
            <w:vAlign w:val="bottom"/>
          </w:tcPr>
          <w:p>
            <w:pPr>
              <w:spacing w:after="0"/>
              <w:rPr>
                <w:sz w:val="15"/>
                <w:szCs w:val="15"/>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Bruce Morrison Aitken</w:t>
            </w:r>
          </w:p>
        </w:tc>
      </w:tr>
      <w:tr>
        <w:trPr>
          <w:trHeight w:val="192"/>
        </w:trPr>
        <w:tc>
          <w:tcPr>
            <w:tcW w:w="6020" w:type="dxa"/>
            <w:vAlign w:val="bottom"/>
          </w:tcPr>
          <w:p>
            <w:pPr>
              <w:spacing w:after="0"/>
              <w:rPr>
                <w:sz w:val="16"/>
                <w:szCs w:val="16"/>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Financial Officer</w:t>
            </w:r>
          </w:p>
        </w:tc>
      </w:tr>
    </w:tbl>
    <w:p>
      <w:pPr>
        <w:sectPr>
          <w:pgSz w:w="11900" w:h="16838" w:orient="portrait"/>
          <w:cols w:equalWidth="0" w:num="1">
            <w:col w:w="11280"/>
          </w:cols>
          <w:pgMar w:left="300" w:top="1176"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Gogoro to Hold Annual General Meeting on April 28, 2026</w:t>
      </w:r>
    </w:p>
    <w:p>
      <w:pPr>
        <w:spacing w:after="0" w:line="214" w:lineRule="exact"/>
        <w:rPr>
          <w:sz w:val="20"/>
          <w:szCs w:val="20"/>
          <w:color w:val="auto"/>
        </w:rPr>
      </w:pPr>
    </w:p>
    <w:p>
      <w:pPr>
        <w:ind w:right="280"/>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TAIPEI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March 20, 2026</w:t>
      </w:r>
      <w:r>
        <w:rPr>
          <w:rFonts w:ascii="Times New Roman" w:cs="Times New Roman" w:eastAsia="Times New Roman" w:hAnsi="Times New Roman"/>
          <w:sz w:val="18"/>
          <w:szCs w:val="18"/>
          <w:color w:val="auto"/>
        </w:rPr>
        <w:t>–Gogoro Inc. (“Gogoro,” “the Company” or “We”) (Nasdaq: GGR), a global technology leader in battery swapping ecosystems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enable sustainable mobility solutions for cities, today announced that it will hold its 2026 Annual General Meeting of Shareholders (the “AGM”) at Building C, No. 225, Sec. 2, Chang'an E. Rd., Songshan Dist., Taipei City, Taiwan 105, on April 28, 2026 at 9:30 AM Taipei time.</w:t>
      </w:r>
    </w:p>
    <w:p>
      <w:pPr>
        <w:spacing w:after="0" w:line="162"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8"/>
          <w:szCs w:val="18"/>
          <w:color w:val="auto"/>
        </w:rPr>
        <w:t>Holders of the Company’s ordinary shares listed in the register of members of the Company at the close of business on March 13, 2026 (Eastern Standard Time) are entitled to receive notice of, and vote at, the AGM or at any adjournment that may take place.</w:t>
      </w:r>
    </w:p>
    <w:p>
      <w:pPr>
        <w:spacing w:after="0" w:line="151"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8"/>
          <w:szCs w:val="18"/>
          <w:color w:val="auto"/>
        </w:rPr>
        <w:t>Copies of the Notice of the AGM, which sets forth the resolutions to be proposed and for which adoption from shareholders is sought, the Proxy Statement, and the Proxy Card, and the Company's 2025 Annual Report, which contains the complete audited financial statements and the report of auditors for the year ended December 31, 2025, will be available on the Investor Relations section of the Company’s website at https://investor.gogoro.com and on the SEC's website at www.sec.gov after March 31, 2026.</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Gogoro</w:t>
      </w:r>
    </w:p>
    <w:p>
      <w:pPr>
        <w:spacing w:after="0" w:line="161"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color w:val="auto"/>
        </w:rPr>
        <w:t>Founded in 2011 to rethink urban energy, Gogoro is the world’s leader in battery-swapping electric mobility, setting new standards for sustainable mobility. Powering nearly 700,000 riders and over 800 million battery swaps across more than 2,700 GoStation locations, the Gogoro Network redefines how cities move. Recognized globally in 2024, including Fortune’s "Change the World," Fast Company’s "Asia-Pacific's Most Innovative Company," MIT Technology Review’s "15 Climate Tech Companies to Watch," and Frost &amp; Sullivan’s "Global Company of the Year" for battery swapping, Gogoro continues to disrupt the status quo and accelerate the shift to cleaner, smarter mobility, and lead the way in reimagining how cities move.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of 1933, as amended, and Section 21E of the Securities Exchange Act of 1934, as amended. Forward-looking statements generally relate to future events or Gogoro's future financial or operating performance. In some cases, you can identify forward-looking statements because they contain words such as "may," "will," "should," "expects," "plans," "anticipates," "going to," "could," "intends," "target," "projects," "contemplates," "believes," "estimates," "predicts," "potential" or "continue" or the negative of these words or other similar terms or expressions that concern Gogoro's expectations, strategy, priorities, plans or intentions. Forward-looking statements in this communication include, but are not limited to, statements relating to holding of the AGM.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280"/>
          </w:cols>
          <w:pgMar w:left="300" w:top="118" w:right="3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7"/>
          <w:szCs w:val="17"/>
          <w:color w:val="auto"/>
        </w:rPr>
        <w:t>Gogoro’s expectations and beliefs regarding these matters may not materialize, and actual results in future periods are subject to risks and uncertainties that could cause actual results to differ materially from those projected, including risks related to macroeconomic factors including inflation and consumer confidence, risks related to the Taiwan scooter market, risks related to political tensions, Gogoro’s ability to effectively manage its growth, Gogoro’s ability to launch and ramp up the production of its products and control its manufacturing costs and manage its supply chain issues, Gogoro’s risks related to ability to expand its sales and marketing abilities, Gogoro’s ability to expand effectively into new markets, foreign exchange fluctuations, Gogoro’s ability to develop and maintain relationships with its partners, risks related to probable defects of Gogoro’s products and services and product recalls, regulatory risks and Gogoro’s risks related to strategic collaborations, risks related to the Taiwan market, India market, Philippines market and other international markets, alliances or joint ventures including Gogoro’s ability to enter into and execute its plans related to strategic collaborations, alliances or joint ventures in order for such strategic collaborations, alliances or joint ventures to be successful and generate revenue, the ability of Gogoro to be successful in the B2B market, risks related to Gogoro's ability to achieve operational efficiencies, Gogoro's ability to raise additional capital, the risks related to the need for Gogoro to invest more capital in strategic collaborations, alliances or joint ventures, risks relating to the impact of foreign exchange and the risk of Gogoro having to adjust the accounting treatment associated with its joint ventures. The forward-looking statements contained in this communication are also subject to other risks and uncertainties, including those more fully described in Gogoro's filings with the Securities and Exchange Commission (“SEC”), copies of which are available on the SEC's website at www.sec.gov. The forward-looking statements in this communication are based on information available to Gogoro as of the date hereof, and Gogoro disclaims any obligation to update any forward-looking statements, except as required by law.</w:t>
      </w:r>
    </w:p>
    <w:p>
      <w:pPr>
        <w:sectPr>
          <w:pgSz w:w="11900" w:h="16838" w:orient="portrait"/>
          <w:cols w:equalWidth="0" w:num="1">
            <w:col w:w="11280"/>
          </w:cols>
          <w:pgMar w:left="300" w:top="118" w:right="319" w:bottom="1440" w:gutter="0" w:footer="0" w:header="0"/>
        </w:sectPr>
      </w:pP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Gogoro Media Contact: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Gogoro Investor Contact:</w:t>
      </w:r>
    </w:p>
    <w:p>
      <w:pPr>
        <w:spacing w:after="0" w:line="50" w:lineRule="exact"/>
        <w:rPr>
          <w:sz w:val="20"/>
          <w:szCs w:val="20"/>
          <w:color w:val="auto"/>
        </w:rPr>
      </w:pPr>
    </w:p>
    <w:p>
      <w:pPr>
        <w:sectPr>
          <w:pgSz w:w="11900" w:h="16838" w:orient="portrait"/>
          <w:cols w:equalWidth="0" w:num="2">
            <w:col w:w="4480" w:space="720"/>
            <w:col w:w="6080"/>
          </w:cols>
          <w:pgMar w:left="300" w:top="118" w:right="319" w:bottom="1440" w:gutter="0" w:footer="0" w:header="0"/>
          <w:type w:val="continuous"/>
        </w:sectPr>
      </w:pP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press@gogoro.com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ir@gogoro.com</w:t>
      </w:r>
    </w:p>
    <w:p>
      <w:pPr>
        <w:spacing w:after="0" w:line="255" w:lineRule="exact"/>
        <w:rPr>
          <w:sz w:val="20"/>
          <w:szCs w:val="20"/>
          <w:color w:val="auto"/>
        </w:rPr>
      </w:pPr>
    </w:p>
    <w:p>
      <w:pPr>
        <w:sectPr>
          <w:pgSz w:w="11900" w:h="16838" w:orient="portrait"/>
          <w:cols w:equalWidth="0" w:num="2">
            <w:col w:w="4480" w:space="720"/>
            <w:col w:w="6080"/>
          </w:cols>
          <w:pgMar w:left="300" w:top="118"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80"/>
          </w:cols>
          <w:pgMar w:left="300" w:top="118" w:right="319" w:bottom="1440" w:gutter="0" w:footer="0" w:header="0"/>
          <w:type w:val="continuous"/>
        </w:sectPr>
      </w:pPr>
    </w:p>
    <w:bookmarkStart w:id="6" w:name="page7"/>
    <w:bookmarkEnd w:id="6"/>
    <w:p>
      <w:pPr>
        <w:ind w:left="5103"/>
        <w:spacing w:after="0"/>
        <w:rPr>
          <w:sz w:val="20"/>
          <w:szCs w:val="20"/>
          <w:color w:val="auto"/>
        </w:rPr>
      </w:pPr>
      <w:r>
        <w:rPr>
          <w:rFonts w:ascii="Times New Roman" w:cs="Times New Roman" w:eastAsia="Times New Roman" w:hAnsi="Times New Roman"/>
          <w:sz w:val="18"/>
          <w:szCs w:val="18"/>
          <w:b w:val="1"/>
          <w:bCs w:val="1"/>
          <w:color w:val="auto"/>
        </w:rPr>
        <w:t>Gogoro Inc.</w:t>
      </w:r>
    </w:p>
    <w:p>
      <w:pPr>
        <w:spacing w:after="0" w:line="114" w:lineRule="exact"/>
        <w:rPr>
          <w:sz w:val="20"/>
          <w:szCs w:val="20"/>
          <w:color w:val="auto"/>
        </w:rPr>
      </w:pPr>
    </w:p>
    <w:p>
      <w:pPr>
        <w:ind w:left="4883"/>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5" w:lineRule="exact"/>
        <w:rPr>
          <w:sz w:val="20"/>
          <w:szCs w:val="20"/>
          <w:color w:val="auto"/>
        </w:rPr>
      </w:pPr>
    </w:p>
    <w:p>
      <w:pPr>
        <w:ind w:left="1523"/>
        <w:spacing w:after="0"/>
        <w:rPr>
          <w:sz w:val="20"/>
          <w:szCs w:val="20"/>
          <w:color w:val="auto"/>
        </w:rPr>
      </w:pPr>
      <w:r>
        <w:rPr>
          <w:rFonts w:ascii="Times New Roman" w:cs="Times New Roman" w:eastAsia="Times New Roman" w:hAnsi="Times New Roman"/>
          <w:sz w:val="18"/>
          <w:szCs w:val="18"/>
          <w:b w:val="1"/>
          <w:bCs w:val="1"/>
          <w:color w:val="auto"/>
        </w:rPr>
        <w:t>Notice of Annual General Meeting of the Company</w:t>
      </w:r>
    </w:p>
    <w:p>
      <w:pPr>
        <w:spacing w:after="0" w:line="159" w:lineRule="exact"/>
        <w:rPr>
          <w:sz w:val="20"/>
          <w:szCs w:val="20"/>
          <w:color w:val="auto"/>
        </w:rPr>
      </w:pPr>
    </w:p>
    <w:p>
      <w:pPr>
        <w:jc w:val="both"/>
        <w:ind w:left="3" w:right="20"/>
        <w:spacing w:after="0" w:line="259" w:lineRule="auto"/>
        <w:rPr>
          <w:sz w:val="20"/>
          <w:szCs w:val="20"/>
          <w:color w:val="auto"/>
        </w:rPr>
      </w:pPr>
      <w:r>
        <w:rPr>
          <w:rFonts w:ascii="Times New Roman" w:cs="Times New Roman" w:eastAsia="Times New Roman" w:hAnsi="Times New Roman"/>
          <w:sz w:val="18"/>
          <w:szCs w:val="18"/>
          <w:color w:val="auto"/>
        </w:rPr>
        <w:t>Notice is hereby given that an annual general meeting of the Company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will be held at Building C, No. 225, Sec. 2, Chang'an E. Rd., Songshan Dist., Taipei City, Taiwan 105, on 28 April 2026 at 9:30 am Taipei time for the purpose of considering and, if thought fit, passing and approving the following resolution(s):</w:t>
      </w:r>
    </w:p>
    <w:p>
      <w:pPr>
        <w:spacing w:after="0" w:line="13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u w:val="single" w:color="auto"/>
          <w:color w:val="auto"/>
        </w:rPr>
        <w:t>By Ordinary Resolutions that</w:t>
      </w:r>
      <w:r>
        <w:rPr>
          <w:rFonts w:ascii="Times New Roman" w:cs="Times New Roman" w:eastAsia="Times New Roman" w:hAnsi="Times New Roman"/>
          <w:sz w:val="18"/>
          <w:szCs w:val="18"/>
          <w:b w:val="1"/>
          <w:bCs w:val="1"/>
          <w:color w:val="auto"/>
        </w:rPr>
        <w:t>:</w:t>
      </w:r>
    </w:p>
    <w:p>
      <w:pPr>
        <w:spacing w:after="0" w:line="172" w:lineRule="exact"/>
        <w:rPr>
          <w:sz w:val="20"/>
          <w:szCs w:val="20"/>
          <w:color w:val="auto"/>
        </w:rPr>
      </w:pPr>
    </w:p>
    <w:p>
      <w:pPr>
        <w:ind w:left="523" w:hanging="523"/>
        <w:spacing w:after="0"/>
        <w:tabs>
          <w:tab w:leader="none" w:pos="52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authorised share capital be increased:</w:t>
      </w:r>
    </w:p>
    <w:p>
      <w:pPr>
        <w:spacing w:after="0" w:line="167" w:lineRule="exact"/>
        <w:rPr>
          <w:rFonts w:ascii="Times New Roman" w:cs="Times New Roman" w:eastAsia="Times New Roman" w:hAnsi="Times New Roman"/>
          <w:sz w:val="18"/>
          <w:szCs w:val="18"/>
          <w:color w:val="auto"/>
        </w:rPr>
      </w:pPr>
    </w:p>
    <w:p>
      <w:pPr>
        <w:ind w:left="1063" w:right="20" w:hanging="531"/>
        <w:spacing w:after="0" w:line="275" w:lineRule="auto"/>
        <w:tabs>
          <w:tab w:leader="none" w:pos="10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FROM</w:t>
      </w:r>
      <w:r>
        <w:rPr>
          <w:rFonts w:ascii="Times New Roman" w:cs="Times New Roman" w:eastAsia="Times New Roman" w:hAnsi="Times New Roman"/>
          <w:sz w:val="18"/>
          <w:szCs w:val="18"/>
          <w:color w:val="auto"/>
        </w:rPr>
        <w:t>: US$50,000 divided into 22,500,000 ordinary shares of a nominal or par value of US$0.002 each, and 50,000,000 preference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nominal or par value of US$0.0001 each;</w:t>
      </w:r>
    </w:p>
    <w:p>
      <w:pPr>
        <w:spacing w:after="0" w:line="113" w:lineRule="exact"/>
        <w:rPr>
          <w:rFonts w:ascii="Times New Roman" w:cs="Times New Roman" w:eastAsia="Times New Roman" w:hAnsi="Times New Roman"/>
          <w:sz w:val="18"/>
          <w:szCs w:val="18"/>
          <w:color w:val="auto"/>
        </w:rPr>
      </w:pPr>
    </w:p>
    <w:p>
      <w:pPr>
        <w:ind w:left="1063" w:right="20" w:hanging="531"/>
        <w:spacing w:after="0" w:line="275" w:lineRule="auto"/>
        <w:tabs>
          <w:tab w:leader="none" w:pos="1059"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color w:val="auto"/>
        </w:rPr>
        <w:t>: US$120,000 divided into 60,000,000 ordinary shares of a nominal or par value of US$0.002 each, and 50,000,000 preference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nominal or par value of US$0.0001 each;</w:t>
      </w:r>
    </w:p>
    <w:p>
      <w:pPr>
        <w:spacing w:after="0" w:line="115" w:lineRule="exact"/>
        <w:rPr>
          <w:rFonts w:ascii="Times New Roman" w:cs="Times New Roman" w:eastAsia="Times New Roman" w:hAnsi="Times New Roman"/>
          <w:sz w:val="18"/>
          <w:szCs w:val="18"/>
          <w:color w:val="auto"/>
        </w:rPr>
      </w:pPr>
    </w:p>
    <w:p>
      <w:pPr>
        <w:ind w:left="523" w:hanging="523"/>
        <w:spacing w:after="0" w:line="273" w:lineRule="auto"/>
        <w:tabs>
          <w:tab w:leader="none" w:pos="51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of the AGM by the chairman of the AGM, if necessary, to solicit additional proxies if there are insufficient votes at the time of the AGM to approve any of the resolutions to be considered and passed at the AGM be approved; and</w:t>
      </w:r>
    </w:p>
    <w:p>
      <w:pPr>
        <w:spacing w:after="0" w:line="116" w:lineRule="exact"/>
        <w:rPr>
          <w:rFonts w:ascii="Times New Roman" w:cs="Times New Roman" w:eastAsia="Times New Roman" w:hAnsi="Times New Roman"/>
          <w:sz w:val="18"/>
          <w:szCs w:val="18"/>
          <w:color w:val="auto"/>
        </w:rPr>
      </w:pPr>
    </w:p>
    <w:p>
      <w:pPr>
        <w:ind w:left="523" w:hanging="523"/>
        <w:spacing w:after="0" w:line="273" w:lineRule="auto"/>
        <w:tabs>
          <w:tab w:leader="none" w:pos="51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directors and officers of the Company be authorised to take any and every action that might be necessary to effect the foregoing resolutions as such director or officer, in their absolute discretion, thinks fit.</w:t>
      </w:r>
    </w:p>
    <w:p>
      <w:pPr>
        <w:spacing w:after="0" w:line="12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19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Tamon Tseng</w:t>
      </w:r>
    </w:p>
    <w:p>
      <w:pPr>
        <w:spacing w:after="0" w:line="2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17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Dated: March 20, 2026</w:t>
      </w:r>
    </w:p>
    <w:p>
      <w:pPr>
        <w:spacing w:after="0" w:line="18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 A proxy statement and a proxy card have been included with this Notice.</w:t>
      </w:r>
    </w:p>
    <w:p>
      <w:pPr>
        <w:sectPr>
          <w:pgSz w:w="11900" w:h="16838" w:orient="portrait"/>
          <w:cols w:equalWidth="0" w:num="1">
            <w:col w:w="11103"/>
          </w:cols>
          <w:pgMar w:left="397" w:top="1123" w:right="399" w:bottom="1440" w:gutter="0" w:footer="0" w:header="0"/>
        </w:sectPr>
      </w:pPr>
    </w:p>
    <w:bookmarkStart w:id="7" w:name="page8"/>
    <w:bookmarkEnd w:id="7"/>
    <w:p>
      <w:pPr>
        <w:ind w:left="83"/>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72" w:lineRule="exact"/>
        <w:rPr>
          <w:sz w:val="20"/>
          <w:szCs w:val="20"/>
          <w:color w:val="auto"/>
        </w:rPr>
      </w:pPr>
    </w:p>
    <w:p>
      <w:pPr>
        <w:ind w:left="523" w:right="20" w:hanging="523"/>
        <w:spacing w:after="0" w:line="273" w:lineRule="auto"/>
        <w:tabs>
          <w:tab w:leader="none" w:pos="5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need not be a shareholder of the Company. A shareholder entitled to attend and vote at the AGM is entitled to appoint one or more proxies to attend and vote in his/her stead.</w:t>
      </w:r>
    </w:p>
    <w:p>
      <w:pPr>
        <w:spacing w:after="0" w:line="128" w:lineRule="exact"/>
        <w:rPr>
          <w:sz w:val="20"/>
          <w:szCs w:val="20"/>
          <w:color w:val="auto"/>
        </w:rPr>
      </w:pPr>
    </w:p>
    <w:p>
      <w:pPr>
        <w:jc w:val="both"/>
        <w:ind w:left="523" w:right="20" w:hanging="523"/>
        <w:spacing w:after="0" w:line="273" w:lineRule="auto"/>
        <w:tabs>
          <w:tab w:leader="none" w:pos="52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proxy card for use at the AGM is enclosed. Whether or not you propose to attend the AGM in person, you are strongly advised to vote by granting a proxy. Specifically, you may complete and sign the enclosed proxy card in accordance with the instructions printed on it and then return it by mail or by hand to the offices of (i) Continental Stock Transfer &amp; Trust Company, 1 State Street, Floor 30, New York City, N.Y. 10275-0741, Attention: Proxy Services, or (ii) Gogoro Inc., 11F, Building C, No. 225, Section 2, Chang’an E. Rd., SongShan district, Taipei City 105, Taiwan, Attention: Department of Investor Relations. The proxy card must be returned not later than the close of business on 24 April, 2026, Eastern time.</w:t>
      </w:r>
    </w:p>
    <w:p>
      <w:pPr>
        <w:spacing w:after="0" w:line="129" w:lineRule="exact"/>
        <w:rPr>
          <w:sz w:val="20"/>
          <w:szCs w:val="20"/>
          <w:color w:val="auto"/>
        </w:rPr>
      </w:pPr>
    </w:p>
    <w:p>
      <w:pPr>
        <w:ind w:left="523" w:right="100"/>
        <w:spacing w:after="0" w:line="273" w:lineRule="auto"/>
        <w:rPr>
          <w:sz w:val="20"/>
          <w:szCs w:val="20"/>
          <w:color w:val="auto"/>
        </w:rPr>
      </w:pPr>
      <w:r>
        <w:rPr>
          <w:rFonts w:ascii="Times New Roman" w:cs="Times New Roman" w:eastAsia="Times New Roman" w:hAnsi="Times New Roman"/>
          <w:sz w:val="18"/>
          <w:szCs w:val="18"/>
          <w:color w:val="auto"/>
        </w:rPr>
        <w:t>Returning the completed proxy card will not preclude you from attending the AGM and voting in person if you so wish and in such event the proxy shall be deemed to be revoked.</w:t>
      </w:r>
    </w:p>
    <w:p>
      <w:pPr>
        <w:spacing w:after="0" w:line="116" w:lineRule="exact"/>
        <w:rPr>
          <w:sz w:val="20"/>
          <w:szCs w:val="20"/>
          <w:color w:val="auto"/>
        </w:rPr>
      </w:pPr>
    </w:p>
    <w:p>
      <w:pPr>
        <w:jc w:val="both"/>
        <w:ind w:left="523" w:hanging="523"/>
        <w:spacing w:after="0" w:line="258" w:lineRule="auto"/>
        <w:tabs>
          <w:tab w:leader="none" w:pos="5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or more persons are jointly registered as holders of a share, the vote of the senior person who tenders a vote, whether in person or by proxy, shall be accepted to the exclusion of the votes of other joint holders. For this purpose seniority shall be determined by the order in which the names stand on the Company’s register of shareholders in respect of the relevant shares.</w:t>
      </w:r>
    </w:p>
    <w:p>
      <w:pPr>
        <w:spacing w:after="0" w:line="141" w:lineRule="exact"/>
        <w:rPr>
          <w:sz w:val="20"/>
          <w:szCs w:val="20"/>
          <w:color w:val="auto"/>
        </w:rPr>
      </w:pPr>
    </w:p>
    <w:p>
      <w:pPr>
        <w:jc w:val="both"/>
        <w:ind w:left="523" w:right="20" w:hanging="523"/>
        <w:spacing w:after="0" w:line="254" w:lineRule="auto"/>
        <w:tabs>
          <w:tab w:leader="none" w:pos="5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holding more than one share as of the Record Date (as defined below) entitled to attend and vote at the AGM need not cast the votes in respect of such shares in the same way on any resolution and therefore may vote a share or some or all such shares either for or against a resolution and/or abstain from voting a share or some or all of the shares and, subject to the terms of the instrument appointing any proxy, a proxy appointed under one or more instruments may vote a share or some or all of the shares in respect of which he is appointed either for or against a resolution and/or abstain from voting.</w:t>
      </w:r>
    </w:p>
    <w:p>
      <w:pPr>
        <w:spacing w:after="0" w:line="133" w:lineRule="exact"/>
        <w:rPr>
          <w:sz w:val="20"/>
          <w:szCs w:val="20"/>
          <w:color w:val="auto"/>
        </w:rPr>
      </w:pPr>
    </w:p>
    <w:p>
      <w:pPr>
        <w:ind w:left="523" w:right="20" w:hanging="523"/>
        <w:spacing w:after="0" w:line="275" w:lineRule="auto"/>
        <w:tabs>
          <w:tab w:leader="none" w:pos="5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has fixed the close of business on 13 March 2026 (Eastern Standard Time) as the record date (the “</w:t>
      </w:r>
      <w:r>
        <w:rPr>
          <w:rFonts w:ascii="Times New Roman" w:cs="Times New Roman" w:eastAsia="Times New Roman" w:hAnsi="Times New Roman"/>
          <w:sz w:val="18"/>
          <w:szCs w:val="18"/>
          <w:b w:val="1"/>
          <w:bCs w:val="1"/>
          <w:color w:val="auto"/>
        </w:rPr>
        <w:t>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for determining the shareholders entitled to receive notice of and to vote at the AGM or any adjourned meeting thereof.</w:t>
      </w:r>
    </w:p>
    <w:p>
      <w:pPr>
        <w:sectPr>
          <w:pgSz w:w="11900" w:h="16838" w:orient="portrait"/>
          <w:cols w:equalWidth="0" w:num="1">
            <w:col w:w="11103"/>
          </w:cols>
          <w:pgMar w:left="397" w:top="1389"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GOGORO INC. PROXY STATEMENT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92" w:lineRule="exact"/>
        <w:rPr>
          <w:sz w:val="20"/>
          <w:szCs w:val="20"/>
          <w:color w:val="auto"/>
        </w:rPr>
      </w:pPr>
    </w:p>
    <w:p>
      <w:pPr>
        <w:jc w:val="both"/>
        <w:ind w:left="100" w:right="20" w:firstLine="532"/>
        <w:spacing w:after="0" w:line="259" w:lineRule="auto"/>
        <w:rPr>
          <w:sz w:val="20"/>
          <w:szCs w:val="20"/>
          <w:color w:val="auto"/>
        </w:rPr>
      </w:pPr>
      <w:r>
        <w:rPr>
          <w:rFonts w:ascii="Times New Roman" w:cs="Times New Roman" w:eastAsia="Times New Roman" w:hAnsi="Times New Roman"/>
          <w:sz w:val="18"/>
          <w:szCs w:val="18"/>
          <w:color w:val="auto"/>
        </w:rPr>
        <w:t>Our Board of Directors is soliciting proxies for an annual general meeting of shareholders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to be held at 9:30 am Taipei time on 28 April 2026 or at any adjournment thereof. The AGM will be held at Building C, No. 225, Section 2, Chang’an E. Rd., SongShan district, Taipei City 105, Taiwan.</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83" w:lineRule="exact"/>
        <w:rPr>
          <w:sz w:val="20"/>
          <w:szCs w:val="20"/>
          <w:color w:val="auto"/>
        </w:rPr>
      </w:pPr>
    </w:p>
    <w:p>
      <w:pPr>
        <w:jc w:val="both"/>
        <w:ind w:left="100" w:firstLine="532"/>
        <w:spacing w:after="0" w:line="252" w:lineRule="auto"/>
        <w:rPr>
          <w:sz w:val="20"/>
          <w:szCs w:val="20"/>
          <w:color w:val="auto"/>
        </w:rPr>
      </w:pPr>
      <w:r>
        <w:rPr>
          <w:rFonts w:ascii="Times New Roman" w:cs="Times New Roman" w:eastAsia="Times New Roman" w:hAnsi="Times New Roman"/>
          <w:sz w:val="18"/>
          <w:szCs w:val="18"/>
          <w:color w:val="auto"/>
        </w:rPr>
        <w:t>Any proxy given pursuant to this solicitation may be revoked by the person giving it at any time before its use by delivering a written notice of revocation or a duly executed proxy bearing a later date, or by attending the AGM and voting in person. A written notice of revocation or a duly executed proxy bearing a later date must be delivered by mail or by hand to the offices of (i) Continental Stock Transfer &amp; Trust Company, 1 State Street, Floor 30, New York City, N.Y. 10275-0741, Attention: Proxy Services, or (ii) Gogoro Inc., 11F, Building C, No. 225, Section 2, Chang’an E. Rd., SongShan district, Taipei City 105, Taiwan, Attention: Department of Investor Relations. The written notice of revocation or proxy card must be returned not later than the close of business on 24 April, 2026, Eastern time.</w:t>
      </w:r>
    </w:p>
    <w:p>
      <w:pPr>
        <w:spacing w:after="0" w:line="1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RECORD DATE, SHARE OWNERSHIP, AND QUORUM</w:t>
      </w:r>
    </w:p>
    <w:p>
      <w:pPr>
        <w:spacing w:after="0" w:line="181" w:lineRule="exact"/>
        <w:rPr>
          <w:sz w:val="20"/>
          <w:szCs w:val="20"/>
          <w:color w:val="auto"/>
        </w:rPr>
      </w:pPr>
    </w:p>
    <w:p>
      <w:pPr>
        <w:jc w:val="both"/>
        <w:ind w:left="100" w:firstLine="532"/>
        <w:spacing w:after="0" w:line="258" w:lineRule="auto"/>
        <w:rPr>
          <w:sz w:val="20"/>
          <w:szCs w:val="20"/>
          <w:color w:val="auto"/>
        </w:rPr>
      </w:pPr>
      <w:r>
        <w:rPr>
          <w:rFonts w:ascii="Times New Roman" w:cs="Times New Roman" w:eastAsia="Times New Roman" w:hAnsi="Times New Roman"/>
          <w:sz w:val="18"/>
          <w:szCs w:val="18"/>
          <w:color w:val="auto"/>
        </w:rPr>
        <w:t>Holders of our ordinary shares of record at the close of business on 13 March 2026 (Eastern Standard Time)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vote at the AGM. As of 13 March 2026, 20,073,579 of our ordinary shares par value $0.002 per share, were issued and outstanding. At any general meeting of the Company, one or more shareholders holding at least a majority of the paid up voting share capital of the Company present in person or by proxy and entitled to vote at that meeting shall form a quorum.</w:t>
      </w:r>
    </w:p>
    <w:p>
      <w:pPr>
        <w:spacing w:after="0" w:line="1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VOTING AND SOLICITATION</w:t>
      </w:r>
    </w:p>
    <w:p>
      <w:pPr>
        <w:spacing w:after="0" w:line="172" w:lineRule="exact"/>
        <w:rPr>
          <w:sz w:val="20"/>
          <w:szCs w:val="20"/>
          <w:color w:val="auto"/>
        </w:rPr>
      </w:pPr>
    </w:p>
    <w:p>
      <w:pPr>
        <w:jc w:val="both"/>
        <w:ind w:left="100" w:right="20" w:firstLine="532"/>
        <w:spacing w:after="0" w:line="252" w:lineRule="auto"/>
        <w:rPr>
          <w:sz w:val="20"/>
          <w:szCs w:val="20"/>
          <w:color w:val="auto"/>
        </w:rPr>
      </w:pPr>
      <w:r>
        <w:rPr>
          <w:rFonts w:ascii="Times New Roman" w:cs="Times New Roman" w:eastAsia="Times New Roman" w:hAnsi="Times New Roman"/>
          <w:sz w:val="18"/>
          <w:szCs w:val="18"/>
          <w:color w:val="auto"/>
        </w:rPr>
        <w:t>For each resolution put to the vote of the AGM, each ordinary share in issue is entitled to one (1) vote per share. At the AGM, every ordinary shareholder present in person or by proxy or, in the case of a shareholder being a corporation, by its duly authorized representative, may vote the fully paid ordinary shares held by such shareholder.</w:t>
      </w:r>
    </w:p>
    <w:p>
      <w:pPr>
        <w:spacing w:after="0" w:line="135" w:lineRule="exact"/>
        <w:rPr>
          <w:sz w:val="20"/>
          <w:szCs w:val="20"/>
          <w:color w:val="auto"/>
        </w:rPr>
      </w:pPr>
    </w:p>
    <w:p>
      <w:pPr>
        <w:jc w:val="both"/>
        <w:ind w:left="100" w:firstLine="532"/>
        <w:spacing w:after="0" w:line="249" w:lineRule="auto"/>
        <w:rPr>
          <w:sz w:val="20"/>
          <w:szCs w:val="20"/>
          <w:color w:val="auto"/>
        </w:rPr>
      </w:pPr>
      <w:r>
        <w:rPr>
          <w:rFonts w:ascii="Times New Roman" w:cs="Times New Roman" w:eastAsia="Times New Roman" w:hAnsi="Times New Roman"/>
          <w:sz w:val="18"/>
          <w:szCs w:val="18"/>
          <w:color w:val="auto"/>
        </w:rPr>
        <w:t>A resolution put to the vote of the AGM shall be decided by way of a poll save that the chairman of the AGM may in good faith, allow a resolution which relates purely to a procedural or administrative matter to be voted on by a show of hands in which case every member present in person or by proxy, or in the case of a member being a corporation, by its duly authorized representative, shall have one (1) vote. The result of the poll shall be deemed to be the resolution of the AGM.</w:t>
      </w:r>
    </w:p>
    <w:p>
      <w:pPr>
        <w:spacing w:after="0" w:line="138" w:lineRule="exact"/>
        <w:rPr>
          <w:sz w:val="20"/>
          <w:szCs w:val="20"/>
          <w:color w:val="auto"/>
        </w:rPr>
      </w:pPr>
    </w:p>
    <w:p>
      <w:pPr>
        <w:jc w:val="both"/>
        <w:ind w:left="100" w:right="20" w:firstLine="532"/>
        <w:spacing w:after="0" w:line="273" w:lineRule="auto"/>
        <w:rPr>
          <w:sz w:val="20"/>
          <w:szCs w:val="20"/>
          <w:color w:val="auto"/>
        </w:rPr>
      </w:pPr>
      <w:r>
        <w:rPr>
          <w:rFonts w:ascii="Times New Roman" w:cs="Times New Roman" w:eastAsia="Times New Roman" w:hAnsi="Times New Roman"/>
          <w:sz w:val="18"/>
          <w:szCs w:val="18"/>
          <w:color w:val="auto"/>
        </w:rPr>
        <w:t>The costs of soliciting proxies will be borne by us. Proxies may be solicited by certain of our directors, officers and regular employees, without additional compensation, in person or by telephone or electronic mail. Copies of solicitation materials will be furnished to banks,</w:t>
      </w:r>
    </w:p>
    <w:p>
      <w:pPr>
        <w:sectPr>
          <w:pgSz w:w="11900" w:h="16838" w:orient="portrait"/>
          <w:cols w:equalWidth="0" w:num="1">
            <w:col w:w="11200"/>
          </w:cols>
          <w:pgMar w:left="300" w:top="1312"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color w:val="auto"/>
        </w:rPr>
        <w:t>brokerage houses, fiduciaries, and custodians holding in their names our ordinary shares beneficially owned by others to forward to those beneficial owners.</w:t>
      </w:r>
    </w:p>
    <w:p>
      <w:pPr>
        <w:spacing w:after="0" w:line="1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VOTING BY HOLDERS OF ORDINARY SHARES</w:t>
      </w:r>
    </w:p>
    <w:p>
      <w:pPr>
        <w:spacing w:after="0" w:line="183" w:lineRule="exact"/>
        <w:rPr>
          <w:sz w:val="20"/>
          <w:szCs w:val="20"/>
          <w:color w:val="auto"/>
        </w:rPr>
      </w:pPr>
    </w:p>
    <w:p>
      <w:pPr>
        <w:jc w:val="both"/>
        <w:ind w:firstLine="532"/>
        <w:spacing w:after="0" w:line="252" w:lineRule="auto"/>
        <w:rPr>
          <w:sz w:val="20"/>
          <w:szCs w:val="20"/>
          <w:color w:val="auto"/>
        </w:rPr>
      </w:pPr>
      <w:r>
        <w:rPr>
          <w:rFonts w:ascii="Times New Roman" w:cs="Times New Roman" w:eastAsia="Times New Roman" w:hAnsi="Times New Roman"/>
          <w:sz w:val="18"/>
          <w:szCs w:val="18"/>
          <w:color w:val="auto"/>
        </w:rPr>
        <w:t>When proxies are properly completed and returned by holders of ordinary shares, the ordinary shares they represent will be voted at the AGM in accordance with the instructions of the shareholders. If no specific instructions are given by such holders, or in the case of broker’s non- votes, the ordinary shares will be voted at the discretion of the holder of such proxies. Abstentions by holders of ordinary shares are included in the determination of the number of ordinary shares present for the purpose of quorum but are not counted as votes for or against a proposal. Any representative of a corporate shareholder attending the AGM would need to produce a letter or board resolutions showing the authorization to represent such shareholder to the Company.</w:t>
      </w:r>
    </w:p>
    <w:p>
      <w:pPr>
        <w:spacing w:after="0" w:line="15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18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INCREASE IN AUTHORISED SHARE CAPITAL</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Proposal No.1 would increase the Company's authorised share capital:</w:t>
      </w:r>
    </w:p>
    <w:p>
      <w:pPr>
        <w:spacing w:after="0" w:line="168" w:lineRule="exact"/>
        <w:rPr>
          <w:sz w:val="20"/>
          <w:szCs w:val="20"/>
          <w:color w:val="auto"/>
        </w:rPr>
      </w:pPr>
    </w:p>
    <w:p>
      <w:pPr>
        <w:ind w:left="1060" w:right="20" w:hanging="531"/>
        <w:spacing w:after="0" w:line="275" w:lineRule="auto"/>
        <w:tabs>
          <w:tab w:leader="none" w:pos="10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FROM</w:t>
      </w:r>
      <w:r>
        <w:rPr>
          <w:rFonts w:ascii="Times New Roman" w:cs="Times New Roman" w:eastAsia="Times New Roman" w:hAnsi="Times New Roman"/>
          <w:sz w:val="18"/>
          <w:szCs w:val="18"/>
          <w:color w:val="auto"/>
        </w:rPr>
        <w:t>: US$50,000 divided into 22,500,000 ordinary shares of a nominal or par value of US$0.002 each, and 50,000,000 preference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nominal or par value of US$0.0001 each;</w:t>
      </w:r>
    </w:p>
    <w:p>
      <w:pPr>
        <w:spacing w:after="0" w:line="113" w:lineRule="exact"/>
        <w:rPr>
          <w:rFonts w:ascii="Times New Roman" w:cs="Times New Roman" w:eastAsia="Times New Roman" w:hAnsi="Times New Roman"/>
          <w:sz w:val="18"/>
          <w:szCs w:val="18"/>
          <w:color w:val="auto"/>
        </w:rPr>
      </w:pPr>
    </w:p>
    <w:p>
      <w:pPr>
        <w:ind w:left="1060" w:right="20" w:hanging="531"/>
        <w:spacing w:after="0" w:line="275" w:lineRule="auto"/>
        <w:tabs>
          <w:tab w:leader="none" w:pos="10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color w:val="auto"/>
        </w:rPr>
        <w:t>: US$120,000 divided into 60,000,000 ordinary shares of a nominal or par value of US$0.002 each, and 50,000,000 preference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nominal or par value of US$0.0001 each; and</w:t>
      </w:r>
    </w:p>
    <w:p>
      <w:pPr>
        <w:spacing w:after="0" w:line="115" w:lineRule="exact"/>
        <w:rPr>
          <w:sz w:val="20"/>
          <w:szCs w:val="20"/>
          <w:color w:val="auto"/>
        </w:rPr>
      </w:pPr>
    </w:p>
    <w:p>
      <w:pPr>
        <w:ind w:right="20" w:firstLine="532"/>
        <w:spacing w:after="0" w:line="260" w:lineRule="auto"/>
        <w:rPr>
          <w:sz w:val="20"/>
          <w:szCs w:val="20"/>
          <w:color w:val="auto"/>
        </w:rPr>
      </w:pPr>
      <w:r>
        <w:rPr>
          <w:rFonts w:ascii="Times New Roman" w:cs="Times New Roman" w:eastAsia="Times New Roman" w:hAnsi="Times New Roman"/>
          <w:sz w:val="18"/>
          <w:szCs w:val="18"/>
          <w:color w:val="auto"/>
        </w:rPr>
        <w:t>The affirmative vote of a simple majority of the votes of the holders of ordinary shares present in person or by proxy or, in the case of an ordinary shareholder being a corporation, by its duly authorized representative and voting at the AGM will be required to approve this proposal.</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THE BOARD OF DIRECTORS RECOMMENDS A VOTE “FOR” OF PROPOSAL 1, INCREASE IN AUTHORISED SHARE CAPITAL.</w:t>
      </w:r>
    </w:p>
    <w:p>
      <w:pPr>
        <w:sectPr>
          <w:pgSz w:w="11900" w:h="16838" w:orient="portrait"/>
          <w:cols w:equalWidth="0" w:num="1">
            <w:col w:w="11100"/>
          </w:cols>
          <w:pgMar w:left="400" w:top="1302" w:right="3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Adjournment of the AGM to Solicit Additional Proxies, If Necessary</w:t>
      </w:r>
    </w:p>
    <w:p>
      <w:pPr>
        <w:spacing w:after="0" w:line="172" w:lineRule="exact"/>
        <w:rPr>
          <w:sz w:val="20"/>
          <w:szCs w:val="20"/>
          <w:color w:val="auto"/>
        </w:rPr>
      </w:pPr>
    </w:p>
    <w:p>
      <w:pPr>
        <w:ind w:right="20" w:firstLine="532"/>
        <w:spacing w:after="0" w:line="273" w:lineRule="auto"/>
        <w:rPr>
          <w:sz w:val="20"/>
          <w:szCs w:val="20"/>
          <w:color w:val="auto"/>
        </w:rPr>
      </w:pPr>
      <w:r>
        <w:rPr>
          <w:rFonts w:ascii="Times New Roman" w:cs="Times New Roman" w:eastAsia="Times New Roman" w:hAnsi="Times New Roman"/>
          <w:sz w:val="18"/>
          <w:szCs w:val="18"/>
          <w:color w:val="auto"/>
        </w:rPr>
        <w:t>Proposal 2 would allow the chairman of the AGM to adjourn the AGM, if necessary, to solicit additional proxies if there are insufficient votes at the time of the AGM to approve any of the resolutions to be considered and passed at the AGM.</w:t>
      </w:r>
    </w:p>
    <w:p>
      <w:pPr>
        <w:spacing w:after="0" w:line="116" w:lineRule="exact"/>
        <w:rPr>
          <w:sz w:val="20"/>
          <w:szCs w:val="20"/>
          <w:color w:val="auto"/>
        </w:rPr>
      </w:pPr>
    </w:p>
    <w:p>
      <w:pPr>
        <w:ind w:right="20" w:firstLine="532"/>
        <w:spacing w:after="0" w:line="273" w:lineRule="auto"/>
        <w:rPr>
          <w:sz w:val="20"/>
          <w:szCs w:val="20"/>
          <w:color w:val="auto"/>
        </w:rPr>
      </w:pPr>
      <w:r>
        <w:rPr>
          <w:rFonts w:ascii="Times New Roman" w:cs="Times New Roman" w:eastAsia="Times New Roman" w:hAnsi="Times New Roman"/>
          <w:sz w:val="18"/>
          <w:szCs w:val="18"/>
          <w:color w:val="auto"/>
        </w:rPr>
        <w:t>The affirmative vote of a simple majority of the votes of the holders of ordinary shares present in person or by proxy or, in the case of an ordinary shareholder being a corporation, by its duly authorized representative and voting at the AGM will be required to approve this proposal.</w:t>
      </w:r>
    </w:p>
    <w:p>
      <w:pPr>
        <w:spacing w:after="0" w:line="114" w:lineRule="exact"/>
        <w:rPr>
          <w:sz w:val="20"/>
          <w:szCs w:val="20"/>
          <w:color w:val="auto"/>
        </w:rPr>
      </w:pPr>
    </w:p>
    <w:p>
      <w:pPr>
        <w:ind w:firstLine="532"/>
        <w:spacing w:after="0" w:line="275"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PROPOSAL 2, ADJOURNMENT OF THE AGM TO SOLICIT ADDITIONAL PROXIES, IF NECESSARY.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Authorization of Directors and Officers</w:t>
      </w:r>
    </w:p>
    <w:p>
      <w:pPr>
        <w:spacing w:after="0" w:line="172" w:lineRule="exact"/>
        <w:rPr>
          <w:sz w:val="20"/>
          <w:szCs w:val="20"/>
          <w:color w:val="auto"/>
        </w:rPr>
      </w:pPr>
    </w:p>
    <w:p>
      <w:pPr>
        <w:ind w:right="20" w:firstLine="532"/>
        <w:spacing w:after="0" w:line="260" w:lineRule="auto"/>
        <w:rPr>
          <w:sz w:val="20"/>
          <w:szCs w:val="20"/>
          <w:color w:val="auto"/>
        </w:rPr>
      </w:pPr>
      <w:r>
        <w:rPr>
          <w:rFonts w:ascii="Times New Roman" w:cs="Times New Roman" w:eastAsia="Times New Roman" w:hAnsi="Times New Roman"/>
          <w:sz w:val="18"/>
          <w:szCs w:val="18"/>
          <w:color w:val="auto"/>
        </w:rPr>
        <w:t>Proposal 3 is a general power to be granted to directors and officers to take any and every action that might be necessary to effect the matters in Proposals 1 to 2 as such director or officer, in his or her absolute discretion, thinks fit.</w:t>
      </w:r>
    </w:p>
    <w:p>
      <w:pPr>
        <w:spacing w:after="0" w:line="128" w:lineRule="exact"/>
        <w:rPr>
          <w:sz w:val="20"/>
          <w:szCs w:val="20"/>
          <w:color w:val="auto"/>
        </w:rPr>
      </w:pPr>
    </w:p>
    <w:p>
      <w:pPr>
        <w:ind w:right="20" w:firstLine="532"/>
        <w:spacing w:after="0" w:line="273" w:lineRule="auto"/>
        <w:rPr>
          <w:sz w:val="20"/>
          <w:szCs w:val="20"/>
          <w:color w:val="auto"/>
        </w:rPr>
      </w:pPr>
      <w:r>
        <w:rPr>
          <w:rFonts w:ascii="Times New Roman" w:cs="Times New Roman" w:eastAsia="Times New Roman" w:hAnsi="Times New Roman"/>
          <w:sz w:val="18"/>
          <w:szCs w:val="18"/>
          <w:color w:val="auto"/>
        </w:rPr>
        <w:t>The affirmative vote of a simple majority of the votes of the holders of ordinary shares present in person or by proxy or, in the case of an ordinary shareholder being a corporation, by its duly authorized representative and voting at the AGM will be required to approve this proposal.</w:t>
      </w:r>
    </w:p>
    <w:p>
      <w:pPr>
        <w:spacing w:after="0" w:line="114" w:lineRule="exact"/>
        <w:rPr>
          <w:sz w:val="20"/>
          <w:szCs w:val="20"/>
          <w:color w:val="auto"/>
        </w:rPr>
      </w:pPr>
    </w:p>
    <w:p>
      <w:pPr>
        <w:ind w:right="20" w:firstLine="532"/>
        <w:spacing w:after="0" w:line="275"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PROPOSAL 3, THE AUTHORIZATION OF DIRECTORS AND OFFICERS.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1" w:lineRule="exact"/>
        <w:rPr>
          <w:sz w:val="20"/>
          <w:szCs w:val="20"/>
          <w:color w:val="auto"/>
        </w:rPr>
      </w:pPr>
    </w:p>
    <w:p>
      <w:pPr>
        <w:ind w:right="20" w:firstLine="532"/>
        <w:spacing w:after="0" w:line="273" w:lineRule="auto"/>
        <w:rPr>
          <w:sz w:val="20"/>
          <w:szCs w:val="20"/>
          <w:color w:val="auto"/>
        </w:rPr>
      </w:pPr>
      <w:r>
        <w:rPr>
          <w:rFonts w:ascii="Times New Roman" w:cs="Times New Roman" w:eastAsia="Times New Roman" w:hAnsi="Times New Roman"/>
          <w:sz w:val="18"/>
          <w:szCs w:val="18"/>
          <w:color w:val="auto"/>
        </w:rPr>
        <w:t>We know of no other matters to be submitted to the AGM. If any other matters properly come before the AGM, it is the intention of the persons named in the enclosed proxy card to vote the shares they represent as the Board of Directors may recommend.</w:t>
      </w:r>
    </w:p>
    <w:p>
      <w:pPr>
        <w:spacing w:after="0" w:line="200" w:lineRule="exact"/>
        <w:rPr>
          <w:sz w:val="20"/>
          <w:szCs w:val="20"/>
          <w:color w:val="auto"/>
        </w:rPr>
      </w:pPr>
    </w:p>
    <w:p>
      <w:pPr>
        <w:spacing w:after="0" w:line="29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Tamon Tseng</w:t>
      </w:r>
    </w:p>
    <w:p>
      <w:pPr>
        <w:ind w:left="4160"/>
        <w:spacing w:after="0" w:line="235" w:lineRule="auto"/>
        <w:rPr>
          <w:sz w:val="20"/>
          <w:szCs w:val="20"/>
          <w:color w:val="auto"/>
        </w:rPr>
      </w:pPr>
      <w:r>
        <w:rPr>
          <w:rFonts w:ascii="Times New Roman" w:cs="Times New Roman" w:eastAsia="Times New Roman" w:hAnsi="Times New Roman"/>
          <w:sz w:val="18"/>
          <w:szCs w:val="18"/>
          <w:i w:val="1"/>
          <w:iCs w:val="1"/>
          <w:color w:val="auto"/>
        </w:rPr>
        <w:t>Chairman of the Board</w:t>
      </w:r>
    </w:p>
    <w:p>
      <w:pPr>
        <w:ind w:left="4160"/>
        <w:spacing w:after="0"/>
        <w:rPr>
          <w:sz w:val="20"/>
          <w:szCs w:val="20"/>
          <w:color w:val="auto"/>
        </w:rPr>
      </w:pPr>
      <w:r>
        <w:rPr>
          <w:rFonts w:ascii="Times New Roman" w:cs="Times New Roman" w:eastAsia="Times New Roman" w:hAnsi="Times New Roman"/>
          <w:sz w:val="18"/>
          <w:szCs w:val="18"/>
          <w:color w:val="auto"/>
        </w:rPr>
        <w:t>March 20, 2026</w:t>
      </w:r>
    </w:p>
    <w:p>
      <w:pPr>
        <w:sectPr>
          <w:pgSz w:w="11900" w:h="16838" w:orient="portrait"/>
          <w:cols w:equalWidth="0" w:num="1">
            <w:col w:w="11100"/>
          </w:cols>
          <w:pgMar w:left="400" w:top="1433" w:right="399" w:bottom="1440"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314325</wp:posOffset>
            </wp:positionV>
            <wp:extent cx="7098030" cy="9749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974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440690</wp:posOffset>
            </wp:positionV>
            <wp:extent cx="7098030" cy="97421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9742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lvl w:ilvl="1">
      <w:lvlJc w:val="left"/>
      <w:lvlText w:val="(%2)"/>
      <w:numFmt w:val="lowerLetter"/>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4"/>
      <w:numFmt w:val="bullet"/>
      <w:start w:val="1"/>
    </w:lvl>
  </w:abstractNum>
  <w:abstractNum w:abstractNumId="5">
    <w:nsid w:val="2EB141F2"/>
    <w:multiLevelType w:val="hybridMultilevel"/>
    <w:lvl w:ilvl="0">
      <w:lvlJc w:val="left"/>
      <w:lvlText w:val="5"/>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2026-03-20T05:18:00Z</dcterms:created>
  <dcterms:modified xsi:type="dcterms:W3CDTF">2026-03-20T05:18:00Z</dcterms:modified>
</cp:coreProperties>
</file>